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76" w:lineRule="auto"/>
        <w:jc w:val="center"/>
        <w:rPr>
          <w:b w:val="1"/>
          <w:color w:val="88354d"/>
          <w:sz w:val="26"/>
          <w:szCs w:val="26"/>
        </w:rPr>
      </w:pPr>
      <w:r w:rsidDel="00000000" w:rsidR="00000000" w:rsidRPr="00000000">
        <w:rPr>
          <w:rtl w:val="0"/>
        </w:rPr>
      </w:r>
    </w:p>
    <w:p w:rsidR="00000000" w:rsidDel="00000000" w:rsidP="00000000" w:rsidRDefault="00000000" w:rsidRPr="00000000" w14:paraId="00000002">
      <w:pPr>
        <w:spacing w:after="120" w:line="276" w:lineRule="auto"/>
        <w:jc w:val="center"/>
        <w:rPr>
          <w:rFonts w:ascii="Calibri" w:cs="Calibri" w:eastAsia="Calibri" w:hAnsi="Calibri"/>
          <w:b w:val="1"/>
          <w:color w:val="88354d"/>
          <w:sz w:val="26"/>
          <w:szCs w:val="26"/>
        </w:rPr>
      </w:pPr>
      <w:r w:rsidDel="00000000" w:rsidR="00000000" w:rsidRPr="00000000">
        <w:rPr>
          <w:rFonts w:ascii="Calibri" w:cs="Calibri" w:eastAsia="Calibri" w:hAnsi="Calibri"/>
          <w:b w:val="1"/>
          <w:color w:val="88354d"/>
          <w:sz w:val="26"/>
          <w:szCs w:val="26"/>
          <w:rtl w:val="0"/>
        </w:rPr>
        <w:t xml:space="preserve">PROTOCOLO RECICLAJE EN TALLERES MECÁNICOS</w:t>
      </w:r>
    </w:p>
    <w:p w:rsidR="00000000" w:rsidDel="00000000" w:rsidP="00000000" w:rsidRDefault="00000000" w:rsidRPr="00000000" w14:paraId="00000003">
      <w:pPr>
        <w:spacing w:after="12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reciclaje es una opción para manejar los residuos en los talleres mecánicos, ya que genera factores positivos como lo son el orden y la limpieza. Junto con lo anterior, también es importante la reutilización de residuos, como los plásticos y aceros. La gran mayoría de estos materiales, son reciclados y destinados a otros procesos de fabricación, para generar productos.</w:t>
      </w:r>
    </w:p>
    <w:p w:rsidR="00000000" w:rsidDel="00000000" w:rsidP="00000000" w:rsidRDefault="00000000" w:rsidRPr="00000000" w14:paraId="00000004">
      <w:pPr>
        <w:spacing w:after="12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el siguiente protocolo se propone un listado de actividades y pasos a seguir para poder cumplir de manera efectiva con el manejo de residuos en un taller.</w:t>
      </w:r>
    </w:p>
    <w:p w:rsidR="00000000" w:rsidDel="00000000" w:rsidP="00000000" w:rsidRDefault="00000000" w:rsidRPr="00000000" w14:paraId="00000005">
      <w:pPr>
        <w:spacing w:after="120" w:line="276" w:lineRule="auto"/>
        <w:jc w:val="both"/>
        <w:rPr>
          <w:rFonts w:ascii="Calibri" w:cs="Calibri" w:eastAsia="Calibri" w:hAnsi="Calibri"/>
          <w:b w:val="1"/>
          <w:color w:val="808080"/>
          <w:sz w:val="24"/>
          <w:szCs w:val="24"/>
        </w:rPr>
      </w:pPr>
      <w:r w:rsidDel="00000000" w:rsidR="00000000" w:rsidRPr="00000000">
        <w:rPr>
          <w:rFonts w:ascii="Calibri" w:cs="Calibri" w:eastAsia="Calibri" w:hAnsi="Calibri"/>
          <w:b w:val="1"/>
          <w:color w:val="808080"/>
          <w:sz w:val="24"/>
          <w:szCs w:val="24"/>
          <w:rtl w:val="0"/>
        </w:rPr>
        <w:t xml:space="preserve">Plan de acción reciclaje de talleres mecánicos </w:t>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pacing w:after="120" w:line="276" w:lineRule="auto"/>
        <w:ind w:left="284" w:hanging="284"/>
        <w:jc w:val="both"/>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Lo principal es buscar en el taller una zona donde se pueda delimitar un área para ubicar los contenedores de residuos, clasificados según el tipo de material. Veamos los ejemplos de las </w:t>
      </w:r>
      <w:r w:rsidDel="00000000" w:rsidR="00000000" w:rsidRPr="00000000">
        <w:rPr>
          <w:rFonts w:ascii="Calibri" w:cs="Calibri" w:eastAsia="Calibri" w:hAnsi="Calibri"/>
          <w:b w:val="1"/>
          <w:sz w:val="24"/>
          <w:szCs w:val="24"/>
          <w:rtl w:val="0"/>
        </w:rPr>
        <w:t xml:space="preserve">Figuras 1 y 2</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donde se muestran sectores destinados para un "Punto Limpio".</w:t>
      </w:r>
      <w:r w:rsidDel="00000000" w:rsidR="00000000" w:rsidRPr="00000000">
        <w:rPr>
          <w:rtl w:val="0"/>
        </w:rPr>
      </w:r>
    </w:p>
    <w:p w:rsidR="00000000" w:rsidDel="00000000" w:rsidP="00000000" w:rsidRDefault="00000000" w:rsidRPr="00000000" w14:paraId="00000007">
      <w:pPr>
        <w:keepNext w:val="1"/>
        <w:spacing w:after="120" w:before="120" w:line="276"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Figura 1 – Punto Limpio Ejemplo 1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843197</wp:posOffset>
            </wp:positionH>
            <wp:positionV relativeFrom="paragraph">
              <wp:posOffset>335998</wp:posOffset>
            </wp:positionV>
            <wp:extent cx="3486150" cy="2614613"/>
            <wp:effectExtent b="0" l="0" r="0" t="0"/>
            <wp:wrapSquare wrapText="bothSides" distB="0" distT="0" distL="0" distR="0"/>
            <wp:docPr descr="Punto Limpio | Reciclaje, Arquitectura de paisaje, Desechos" id="50" name="image4.jpg"/>
            <a:graphic>
              <a:graphicData uri="http://schemas.openxmlformats.org/drawingml/2006/picture">
                <pic:pic>
                  <pic:nvPicPr>
                    <pic:cNvPr descr="Punto Limpio | Reciclaje, Arquitectura de paisaje, Desechos" id="0" name="image4.jpg"/>
                    <pic:cNvPicPr preferRelativeResize="0"/>
                  </pic:nvPicPr>
                  <pic:blipFill>
                    <a:blip r:embed="rId7"/>
                    <a:srcRect b="0" l="0" r="0" t="0"/>
                    <a:stretch>
                      <a:fillRect/>
                    </a:stretch>
                  </pic:blipFill>
                  <pic:spPr>
                    <a:xfrm>
                      <a:off x="0" y="0"/>
                      <a:ext cx="3486150" cy="2614613"/>
                    </a:xfrm>
                    <a:prstGeom prst="rect"/>
                    <a:ln/>
                  </pic:spPr>
                </pic:pic>
              </a:graphicData>
            </a:graphic>
          </wp:anchor>
        </w:drawing>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120" w:line="276" w:lineRule="auto"/>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20" w:line="276" w:lineRule="auto"/>
        <w:ind w:left="720"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20" w:line="276" w:lineRule="auto"/>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20" w:line="276" w:lineRule="auto"/>
        <w:ind w:left="720"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C">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F">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0">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1">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2">
      <w:pPr>
        <w:spacing w:after="120"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Fuente: Pinterest. (s.f.). Punto Limpio. https://www.pinterest.cl/pin/392939136211960026/?nic_v2=1a2vh0ohS.</w:t>
      </w:r>
    </w:p>
    <w:p w:rsidR="00000000" w:rsidDel="00000000" w:rsidP="00000000" w:rsidRDefault="00000000" w:rsidRPr="00000000" w14:paraId="00000013">
      <w:pPr>
        <w:keepNext w:val="1"/>
        <w:spacing w:after="120" w:before="120" w:line="276" w:lineRule="auto"/>
        <w:jc w:val="center"/>
        <w:rPr>
          <w:i w:val="1"/>
          <w:sz w:val="24"/>
          <w:szCs w:val="24"/>
        </w:rPr>
      </w:pPr>
      <w:r w:rsidDel="00000000" w:rsidR="00000000" w:rsidRPr="00000000">
        <w:rPr>
          <w:rtl w:val="0"/>
        </w:rPr>
      </w:r>
    </w:p>
    <w:p w:rsidR="00000000" w:rsidDel="00000000" w:rsidP="00000000" w:rsidRDefault="00000000" w:rsidRPr="00000000" w14:paraId="00000014">
      <w:pPr>
        <w:keepNext w:val="1"/>
        <w:spacing w:after="120" w:before="120" w:line="276" w:lineRule="auto"/>
        <w:jc w:val="center"/>
        <w:rPr>
          <w:i w:val="1"/>
          <w:sz w:val="24"/>
          <w:szCs w:val="24"/>
        </w:rPr>
      </w:pPr>
      <w:r w:rsidDel="00000000" w:rsidR="00000000" w:rsidRPr="00000000">
        <w:rPr>
          <w:rtl w:val="0"/>
        </w:rPr>
      </w:r>
    </w:p>
    <w:p w:rsidR="00000000" w:rsidDel="00000000" w:rsidP="00000000" w:rsidRDefault="00000000" w:rsidRPr="00000000" w14:paraId="00000015">
      <w:pPr>
        <w:keepNext w:val="1"/>
        <w:spacing w:after="120" w:before="120" w:line="276"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Figura 2 – Punto Limpio Ejemplo 2</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1286828</wp:posOffset>
            </wp:positionH>
            <wp:positionV relativeFrom="paragraph">
              <wp:posOffset>248394</wp:posOffset>
            </wp:positionV>
            <wp:extent cx="3036570" cy="1955800"/>
            <wp:effectExtent b="0" l="0" r="0" t="0"/>
            <wp:wrapSquare wrapText="bothSides" distB="0" distT="0" distL="0" distR="0"/>
            <wp:docPr id="5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036570" cy="1955800"/>
                    </a:xfrm>
                    <a:prstGeom prst="rect"/>
                    <a:ln/>
                  </pic:spPr>
                </pic:pic>
              </a:graphicData>
            </a:graphic>
          </wp:anchor>
        </w:drawing>
      </w:r>
    </w:p>
    <w:p w:rsidR="00000000" w:rsidDel="00000000" w:rsidP="00000000" w:rsidRDefault="00000000" w:rsidRPr="00000000" w14:paraId="00000016">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9">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B">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spacing w:after="12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D">
      <w:pPr>
        <w:spacing w:after="120"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Fuente: Volta. (2020). Punto limpio móvil: reciclaje participativo para tu empresa. </w:t>
      </w:r>
      <w:hyperlink r:id="rId9">
        <w:r w:rsidDel="00000000" w:rsidR="00000000" w:rsidRPr="00000000">
          <w:rPr>
            <w:rFonts w:ascii="Calibri" w:cs="Calibri" w:eastAsia="Calibri" w:hAnsi="Calibri"/>
            <w:color w:val="1155cc"/>
            <w:sz w:val="20"/>
            <w:szCs w:val="20"/>
            <w:u w:val="single"/>
            <w:rtl w:val="0"/>
          </w:rPr>
          <w:t xml:space="preserve">https://www.voltachile.cl/punto-limpio-movil-reciclaje-participativo-empresa</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1E">
      <w:pPr>
        <w:spacing w:after="120" w:line="276" w:lineRule="auto"/>
        <w:jc w:val="center"/>
        <w:rPr>
          <w:sz w:val="20"/>
          <w:szCs w:val="20"/>
        </w:rPr>
      </w:pPr>
      <w:r w:rsidDel="00000000" w:rsidR="00000000" w:rsidRPr="00000000">
        <w:rPr>
          <w:rtl w:val="0"/>
        </w:rPr>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after="120" w:line="276" w:lineRule="auto"/>
        <w:ind w:left="284" w:hanging="426"/>
        <w:jc w:val="both"/>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Luego de delimitar un área en el taller, se deberá clasificar los tipos de residuos que se pueden hallar generalmente. </w:t>
      </w:r>
      <w:r w:rsidDel="00000000" w:rsidR="00000000" w:rsidRPr="00000000">
        <w:rPr>
          <w:rFonts w:ascii="Calibri" w:cs="Calibri" w:eastAsia="Calibri" w:hAnsi="Calibri"/>
          <w:sz w:val="24"/>
          <w:szCs w:val="24"/>
          <w:rtl w:val="0"/>
        </w:rPr>
        <w:t xml:space="preserve">Realizar un listado basado en los residuos que se generan habitualmente en los talleres, como por ejemplo:</w:t>
      </w:r>
      <w:r w:rsidDel="00000000" w:rsidR="00000000" w:rsidRPr="00000000">
        <w:rPr>
          <w:rtl w:val="0"/>
        </w:rPr>
      </w:r>
    </w:p>
    <w:p w:rsidR="00000000" w:rsidDel="00000000" w:rsidP="00000000" w:rsidRDefault="00000000" w:rsidRPr="00000000" w14:paraId="00000020">
      <w:pPr>
        <w:numPr>
          <w:ilvl w:val="1"/>
          <w:numId w:val="3"/>
        </w:numPr>
        <w:pBdr>
          <w:top w:space="0" w:sz="0" w:val="nil"/>
          <w:left w:space="0" w:sz="0" w:val="nil"/>
          <w:bottom w:space="0" w:sz="0" w:val="nil"/>
          <w:right w:space="0" w:sz="0" w:val="nil"/>
          <w:between w:space="0" w:sz="0" w:val="nil"/>
        </w:pBdr>
        <w:spacing w:after="120" w:line="276" w:lineRule="auto"/>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Virutas</w:t>
      </w:r>
    </w:p>
    <w:p w:rsidR="00000000" w:rsidDel="00000000" w:rsidP="00000000" w:rsidRDefault="00000000" w:rsidRPr="00000000" w14:paraId="00000021">
      <w:pPr>
        <w:numPr>
          <w:ilvl w:val="1"/>
          <w:numId w:val="3"/>
        </w:numPr>
        <w:pBdr>
          <w:top w:space="0" w:sz="0" w:val="nil"/>
          <w:left w:space="0" w:sz="0" w:val="nil"/>
          <w:bottom w:space="0" w:sz="0" w:val="nil"/>
          <w:right w:space="0" w:sz="0" w:val="nil"/>
          <w:between w:space="0" w:sz="0" w:val="nil"/>
        </w:pBdr>
        <w:spacing w:after="120" w:line="276" w:lineRule="auto"/>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Paños contaminados</w:t>
      </w:r>
    </w:p>
    <w:p w:rsidR="00000000" w:rsidDel="00000000" w:rsidP="00000000" w:rsidRDefault="00000000" w:rsidRPr="00000000" w14:paraId="00000022">
      <w:pPr>
        <w:numPr>
          <w:ilvl w:val="1"/>
          <w:numId w:val="3"/>
        </w:numPr>
        <w:pBdr>
          <w:top w:space="0" w:sz="0" w:val="nil"/>
          <w:left w:space="0" w:sz="0" w:val="nil"/>
          <w:bottom w:space="0" w:sz="0" w:val="nil"/>
          <w:right w:space="0" w:sz="0" w:val="nil"/>
          <w:between w:space="0" w:sz="0" w:val="nil"/>
        </w:pBdr>
        <w:spacing w:after="120" w:line="276" w:lineRule="auto"/>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Papeles</w:t>
      </w:r>
    </w:p>
    <w:p w:rsidR="00000000" w:rsidDel="00000000" w:rsidP="00000000" w:rsidRDefault="00000000" w:rsidRPr="00000000" w14:paraId="00000023">
      <w:pPr>
        <w:numPr>
          <w:ilvl w:val="1"/>
          <w:numId w:val="3"/>
        </w:numPr>
        <w:pBdr>
          <w:top w:space="0" w:sz="0" w:val="nil"/>
          <w:left w:space="0" w:sz="0" w:val="nil"/>
          <w:bottom w:space="0" w:sz="0" w:val="nil"/>
          <w:right w:space="0" w:sz="0" w:val="nil"/>
          <w:between w:space="0" w:sz="0" w:val="nil"/>
        </w:pBdr>
        <w:spacing w:after="120" w:line="276" w:lineRule="auto"/>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Plásticos</w:t>
      </w:r>
    </w:p>
    <w:p w:rsidR="00000000" w:rsidDel="00000000" w:rsidP="00000000" w:rsidRDefault="00000000" w:rsidRPr="00000000" w14:paraId="00000024">
      <w:pPr>
        <w:numPr>
          <w:ilvl w:val="1"/>
          <w:numId w:val="3"/>
        </w:numPr>
        <w:pBdr>
          <w:top w:space="0" w:sz="0" w:val="nil"/>
          <w:left w:space="0" w:sz="0" w:val="nil"/>
          <w:bottom w:space="0" w:sz="0" w:val="nil"/>
          <w:right w:space="0" w:sz="0" w:val="nil"/>
          <w:between w:space="0" w:sz="0" w:val="nil"/>
        </w:pBdr>
        <w:spacing w:after="120" w:line="276" w:lineRule="auto"/>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Desechos generales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276" w:lineRule="auto"/>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se muestra en la </w:t>
      </w:r>
      <w:r w:rsidDel="00000000" w:rsidR="00000000" w:rsidRPr="00000000">
        <w:rPr>
          <w:rFonts w:ascii="Calibri" w:cs="Calibri" w:eastAsia="Calibri" w:hAnsi="Calibri"/>
          <w:b w:val="1"/>
          <w:sz w:val="24"/>
          <w:szCs w:val="24"/>
          <w:rtl w:val="0"/>
        </w:rPr>
        <w:t xml:space="preserve">Figura 3</w:t>
      </w:r>
      <w:r w:rsidDel="00000000" w:rsidR="00000000" w:rsidRPr="00000000">
        <w:rPr>
          <w:rFonts w:ascii="Calibri" w:cs="Calibri" w:eastAsia="Calibri" w:hAnsi="Calibri"/>
          <w:sz w:val="24"/>
          <w:szCs w:val="24"/>
          <w:rtl w:val="0"/>
        </w:rPr>
        <w:t xml:space="preserve">, cada depósito tiene un objetivo distinto, diferenciado por </w:t>
      </w:r>
      <w:r w:rsidDel="00000000" w:rsidR="00000000" w:rsidRPr="00000000">
        <w:rPr>
          <w:rFonts w:ascii="Calibri" w:cs="Calibri" w:eastAsia="Calibri" w:hAnsi="Calibri"/>
          <w:color w:val="000000"/>
          <w:sz w:val="24"/>
          <w:szCs w:val="24"/>
          <w:rtl w:val="0"/>
        </w:rPr>
        <w:t xml:space="preserve">color y por nombre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29">
      <w:pPr>
        <w:keepNext w:val="1"/>
        <w:spacing w:after="120" w:before="120" w:line="276"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Figura 3 – Tipos de depósitos y objetivos de cada uno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1345013</wp:posOffset>
            </wp:positionH>
            <wp:positionV relativeFrom="paragraph">
              <wp:posOffset>269737</wp:posOffset>
            </wp:positionV>
            <wp:extent cx="3386912" cy="1893515"/>
            <wp:effectExtent b="0" l="0" r="0" t="0"/>
            <wp:wrapNone/>
            <wp:docPr descr="La gestión de los residuos urbanos: una aproximación - MisionesOnline" id="55" name="image3.png"/>
            <a:graphic>
              <a:graphicData uri="http://schemas.openxmlformats.org/drawingml/2006/picture">
                <pic:pic>
                  <pic:nvPicPr>
                    <pic:cNvPr descr="La gestión de los residuos urbanos: una aproximación - MisionesOnline" id="0" name="image3.png"/>
                    <pic:cNvPicPr preferRelativeResize="0"/>
                  </pic:nvPicPr>
                  <pic:blipFill>
                    <a:blip r:embed="rId10"/>
                    <a:srcRect b="0" l="0" r="0" t="0"/>
                    <a:stretch>
                      <a:fillRect/>
                    </a:stretch>
                  </pic:blipFill>
                  <pic:spPr>
                    <a:xfrm>
                      <a:off x="0" y="0"/>
                      <a:ext cx="3386912" cy="1893515"/>
                    </a:xfrm>
                    <a:prstGeom prst="rect"/>
                    <a:ln/>
                  </pic:spPr>
                </pic:pic>
              </a:graphicData>
            </a:graphic>
          </wp:anchor>
        </w:drawing>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line="276" w:lineRule="auto"/>
        <w:ind w:left="720"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line="276" w:lineRule="auto"/>
        <w:ind w:left="720"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line="276" w:lineRule="auto"/>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Fuente: César José Galarza Ph.D. (2018). LA </w:t>
      </w:r>
      <w:r w:rsidDel="00000000" w:rsidR="00000000" w:rsidRPr="00000000">
        <w:rPr>
          <w:sz w:val="20"/>
          <w:szCs w:val="20"/>
          <w:rtl w:val="0"/>
        </w:rPr>
        <w:t xml:space="preserve">GESTIÓN</w:t>
      </w:r>
      <w:r w:rsidDel="00000000" w:rsidR="00000000" w:rsidRPr="00000000">
        <w:rPr>
          <w:rFonts w:ascii="Calibri" w:cs="Calibri" w:eastAsia="Calibri" w:hAnsi="Calibri"/>
          <w:sz w:val="20"/>
          <w:szCs w:val="20"/>
          <w:rtl w:val="0"/>
        </w:rPr>
        <w:t xml:space="preserve"> DE LOS RESIDUOS </w:t>
      </w:r>
      <w:r w:rsidDel="00000000" w:rsidR="00000000" w:rsidRPr="00000000">
        <w:rPr>
          <w:sz w:val="20"/>
          <w:szCs w:val="20"/>
          <w:rtl w:val="0"/>
        </w:rPr>
        <w:t xml:space="preserve">SÓLIDOS</w:t>
      </w:r>
      <w:r w:rsidDel="00000000" w:rsidR="00000000" w:rsidRPr="00000000">
        <w:rPr>
          <w:rFonts w:ascii="Calibri" w:cs="Calibri" w:eastAsia="Calibri" w:hAnsi="Calibri"/>
          <w:sz w:val="20"/>
          <w:szCs w:val="20"/>
          <w:rtl w:val="0"/>
        </w:rPr>
        <w:t xml:space="preserve"> URBANOS: UNA </w:t>
      </w:r>
      <w:r w:rsidDel="00000000" w:rsidR="00000000" w:rsidRPr="00000000">
        <w:rPr>
          <w:sz w:val="20"/>
          <w:szCs w:val="20"/>
          <w:rtl w:val="0"/>
        </w:rPr>
        <w:t xml:space="preserve">APROXIMACIÓN</w:t>
      </w:r>
      <w:r w:rsidDel="00000000" w:rsidR="00000000" w:rsidRPr="00000000">
        <w:rPr>
          <w:rFonts w:ascii="Calibri" w:cs="Calibri" w:eastAsia="Calibri" w:hAnsi="Calibri"/>
          <w:sz w:val="20"/>
          <w:szCs w:val="20"/>
          <w:rtl w:val="0"/>
        </w:rPr>
        <w:t xml:space="preserve">. https://www.cesargalarza.com/es/post/70.</w:t>
      </w:r>
      <w:r w:rsidDel="00000000" w:rsidR="00000000" w:rsidRPr="00000000">
        <w:rPr>
          <w:rtl w:val="0"/>
        </w:rPr>
      </w:r>
    </w:p>
    <w:p w:rsidR="00000000" w:rsidDel="00000000" w:rsidP="00000000" w:rsidRDefault="00000000" w:rsidRPr="00000000" w14:paraId="00000032">
      <w:pP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33">
      <w:pPr>
        <w:spacing w:after="120" w:line="276" w:lineRule="auto"/>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cantidades de depósitos a utilizar, dependerá del tipo de contexto del taller. Para el tratamiento de virutas, es importante disponer de un depósito resistente al desgaste y al daño que puede producir el residuo.</w:t>
      </w:r>
    </w:p>
    <w:p w:rsidR="00000000" w:rsidDel="00000000" w:rsidP="00000000" w:rsidRDefault="00000000" w:rsidRPr="00000000" w14:paraId="00000034">
      <w:pPr>
        <w:keepNext w:val="1"/>
        <w:spacing w:after="120" w:before="120" w:line="276"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Figura 4 – Depósito para residuos metálicos</w:t>
      </w:r>
    </w:p>
    <w:p w:rsidR="00000000" w:rsidDel="00000000" w:rsidP="00000000" w:rsidRDefault="00000000" w:rsidRPr="00000000" w14:paraId="00000035">
      <w:pPr>
        <w:keepNext w:val="1"/>
        <w:spacing w:after="120" w:before="120" w:line="276"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3409950" cy="2600325"/>
            <wp:effectExtent b="0" l="0" r="0" t="0"/>
            <wp:docPr id="5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0995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276" w:lineRule="auto"/>
        <w:jc w:val="center"/>
        <w:rPr>
          <w:sz w:val="20"/>
          <w:szCs w:val="20"/>
        </w:rPr>
      </w:pPr>
      <w:r w:rsidDel="00000000" w:rsidR="00000000" w:rsidRPr="00000000">
        <w:rPr>
          <w:rFonts w:ascii="Calibri" w:cs="Calibri" w:eastAsia="Calibri" w:hAnsi="Calibri"/>
          <w:color w:val="000000"/>
          <w:sz w:val="20"/>
          <w:szCs w:val="20"/>
          <w:rtl w:val="0"/>
        </w:rPr>
        <w:t xml:space="preserve">Fuente:</w:t>
      </w:r>
      <w:r w:rsidDel="00000000" w:rsidR="00000000" w:rsidRPr="00000000">
        <w:rPr>
          <w:rFonts w:ascii="Calibri" w:cs="Calibri" w:eastAsia="Calibri" w:hAnsi="Calibri"/>
          <w:sz w:val="20"/>
          <w:szCs w:val="20"/>
          <w:rtl w:val="0"/>
        </w:rPr>
        <w:t xml:space="preserve"> COMANSA. (s.f.). CONTENEDORES PARA VIRUTAS SERIE ECO. </w:t>
      </w:r>
      <w:hyperlink r:id="rId12">
        <w:r w:rsidDel="00000000" w:rsidR="00000000" w:rsidRPr="00000000">
          <w:rPr>
            <w:rFonts w:ascii="Calibri" w:cs="Calibri" w:eastAsia="Calibri" w:hAnsi="Calibri"/>
            <w:color w:val="1155cc"/>
            <w:sz w:val="20"/>
            <w:szCs w:val="20"/>
            <w:u w:val="single"/>
            <w:rtl w:val="0"/>
          </w:rPr>
          <w:t xml:space="preserve">http://www.comansa.eu/contenedores-para-virutas-serie-eco.html</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line="276" w:lineRule="auto"/>
        <w:jc w:val="cente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line="276" w:lineRule="auto"/>
        <w:jc w:val="center"/>
        <w:rPr>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line="276" w:lineRule="auto"/>
        <w:jc w:val="center"/>
        <w:rPr>
          <w:sz w:val="20"/>
          <w:szCs w:val="20"/>
        </w:rPr>
      </w:pPr>
      <w:r w:rsidDel="00000000" w:rsidR="00000000" w:rsidRPr="00000000">
        <w:rPr>
          <w:rtl w:val="0"/>
        </w:rPr>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pacing w:after="120" w:line="276" w:lineRule="auto"/>
        <w:ind w:left="284" w:hanging="284"/>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Establecer normas dentro del taller que sean </w:t>
      </w:r>
      <w:r w:rsidDel="00000000" w:rsidR="00000000" w:rsidRPr="00000000">
        <w:rPr>
          <w:rFonts w:ascii="Calibri" w:cs="Calibri" w:eastAsia="Calibri" w:hAnsi="Calibri"/>
          <w:sz w:val="24"/>
          <w:szCs w:val="24"/>
          <w:rtl w:val="0"/>
        </w:rPr>
        <w:t xml:space="preserve">conocidas y comprendidas por</w:t>
      </w:r>
      <w:r w:rsidDel="00000000" w:rsidR="00000000" w:rsidRPr="00000000">
        <w:rPr>
          <w:rFonts w:ascii="Calibri" w:cs="Calibri" w:eastAsia="Calibri" w:hAnsi="Calibri"/>
          <w:color w:val="000000"/>
          <w:sz w:val="24"/>
          <w:szCs w:val="24"/>
          <w:rtl w:val="0"/>
        </w:rPr>
        <w:t xml:space="preserve"> todo</w:t>
      </w:r>
      <w:r w:rsidDel="00000000" w:rsidR="00000000" w:rsidRPr="00000000">
        <w:rPr>
          <w:rFonts w:ascii="Calibri" w:cs="Calibri" w:eastAsia="Calibri" w:hAnsi="Calibri"/>
          <w:sz w:val="24"/>
          <w:szCs w:val="24"/>
          <w:rtl w:val="0"/>
        </w:rPr>
        <w:t xml:space="preserve">s. </w:t>
      </w:r>
      <w:r w:rsidDel="00000000" w:rsidR="00000000" w:rsidRPr="00000000">
        <w:rPr>
          <w:rFonts w:ascii="Calibri" w:cs="Calibri" w:eastAsia="Calibri" w:hAnsi="Calibri"/>
          <w:color w:val="000000"/>
          <w:sz w:val="24"/>
          <w:szCs w:val="24"/>
          <w:rtl w:val="0"/>
        </w:rPr>
        <w:t xml:space="preserve">Por ejemplo, indicar </w:t>
      </w:r>
      <w:r w:rsidDel="00000000" w:rsidR="00000000" w:rsidRPr="00000000">
        <w:rPr>
          <w:rFonts w:ascii="Calibri" w:cs="Calibri" w:eastAsia="Calibri" w:hAnsi="Calibri"/>
          <w:sz w:val="24"/>
          <w:szCs w:val="24"/>
          <w:rtl w:val="0"/>
        </w:rPr>
        <w:t xml:space="preserve">el tipo de residuo que puede almacenar cada recipiente. Posteriormente, una vez implementado un punto limpio, se debe respetar la clasificación de los residuos en los contenedores correctos</w:t>
      </w:r>
      <w:r w:rsidDel="00000000" w:rsidR="00000000" w:rsidRPr="00000000">
        <w:rPr>
          <w:rFonts w:ascii="Calibri" w:cs="Calibri" w:eastAsia="Calibri" w:hAnsi="Calibri"/>
          <w:color w:val="000000"/>
          <w:sz w:val="24"/>
          <w:szCs w:val="24"/>
          <w:rtl w:val="0"/>
        </w:rPr>
        <w:t xml:space="preserve">. En consecuencia, es de vital importancia generar una publicidad efec</w:t>
      </w:r>
      <w:r w:rsidDel="00000000" w:rsidR="00000000" w:rsidRPr="00000000">
        <w:rPr>
          <w:rFonts w:ascii="Calibri" w:cs="Calibri" w:eastAsia="Calibri" w:hAnsi="Calibri"/>
          <w:sz w:val="24"/>
          <w:szCs w:val="24"/>
          <w:rtl w:val="0"/>
        </w:rPr>
        <w:t xml:space="preserve">tiva dentro de la comunidad escolar, por medio de </w:t>
      </w:r>
      <w:r w:rsidDel="00000000" w:rsidR="00000000" w:rsidRPr="00000000">
        <w:rPr>
          <w:rFonts w:ascii="Calibri" w:cs="Calibri" w:eastAsia="Calibri" w:hAnsi="Calibri"/>
          <w:color w:val="000000"/>
          <w:sz w:val="24"/>
          <w:szCs w:val="24"/>
          <w:rtl w:val="0"/>
        </w:rPr>
        <w:t xml:space="preserve">afiches informativos u otros que permi</w:t>
      </w:r>
      <w:r w:rsidDel="00000000" w:rsidR="00000000" w:rsidRPr="00000000">
        <w:rPr>
          <w:rFonts w:ascii="Calibri" w:cs="Calibri" w:eastAsia="Calibri" w:hAnsi="Calibri"/>
          <w:sz w:val="24"/>
          <w:szCs w:val="24"/>
          <w:rtl w:val="0"/>
        </w:rPr>
        <w:t xml:space="preserve">tan evidenciar</w:t>
      </w:r>
      <w:r w:rsidDel="00000000" w:rsidR="00000000" w:rsidRPr="00000000">
        <w:rPr>
          <w:rFonts w:ascii="Calibri" w:cs="Calibri" w:eastAsia="Calibri" w:hAnsi="Calibri"/>
          <w:color w:val="000000"/>
          <w:sz w:val="24"/>
          <w:szCs w:val="24"/>
          <w:rtl w:val="0"/>
        </w:rPr>
        <w:t xml:space="preserve"> lo que se está realizando y el por qué, no olvidar que el fin de esto es generar conciencia medioambiental y ayudar a los ecosistemas.</w:t>
      </w:r>
    </w:p>
    <w:p w:rsidR="00000000" w:rsidDel="00000000" w:rsidP="00000000" w:rsidRDefault="00000000" w:rsidRPr="00000000" w14:paraId="0000003B">
      <w:pPr>
        <w:keepNext w:val="1"/>
        <w:spacing w:after="120" w:before="120" w:line="276"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Figura 5 – Clasificación de residuos por contenedor</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line="276" w:lineRule="auto"/>
        <w:ind w:left="720" w:firstLine="0"/>
        <w:jc w:val="center"/>
        <w:rPr>
          <w:rFonts w:ascii="Calibri" w:cs="Calibri" w:eastAsia="Calibri" w:hAnsi="Calibri"/>
          <w:color w:val="000000"/>
          <w:sz w:val="24"/>
          <w:szCs w:val="24"/>
        </w:rPr>
      </w:pPr>
      <w:r w:rsidDel="00000000" w:rsidR="00000000" w:rsidRPr="00000000">
        <w:rPr>
          <w:rFonts w:ascii="Calibri" w:cs="Calibri" w:eastAsia="Calibri" w:hAnsi="Calibri"/>
          <w:sz w:val="24"/>
          <w:szCs w:val="24"/>
        </w:rPr>
        <w:drawing>
          <wp:inline distB="114300" distT="114300" distL="114300" distR="114300">
            <wp:extent cx="3681413" cy="1993350"/>
            <wp:effectExtent b="0" l="0" r="0" t="0"/>
            <wp:docPr id="5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681413" cy="19933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line="276" w:lineRule="auto"/>
        <w:ind w:left="720" w:firstLine="0"/>
        <w:jc w:val="center"/>
        <w:rPr>
          <w:sz w:val="20"/>
          <w:szCs w:val="20"/>
        </w:rPr>
      </w:pPr>
      <w:r w:rsidDel="00000000" w:rsidR="00000000" w:rsidRPr="00000000">
        <w:rPr>
          <w:rFonts w:ascii="Calibri" w:cs="Calibri" w:eastAsia="Calibri" w:hAnsi="Calibri"/>
          <w:color w:val="000000"/>
          <w:sz w:val="20"/>
          <w:szCs w:val="20"/>
          <w:rtl w:val="0"/>
        </w:rPr>
        <w:t xml:space="preserve">Fuente: </w:t>
      </w:r>
      <w:r w:rsidDel="00000000" w:rsidR="00000000" w:rsidRPr="00000000">
        <w:rPr>
          <w:rFonts w:ascii="Calibri" w:cs="Calibri" w:eastAsia="Calibri" w:hAnsi="Calibri"/>
          <w:sz w:val="20"/>
          <w:szCs w:val="20"/>
          <w:rtl w:val="0"/>
        </w:rPr>
        <w:t xml:space="preserve">NABALIA</w:t>
      </w:r>
      <w:r w:rsidDel="00000000" w:rsidR="00000000" w:rsidRPr="00000000">
        <w:rPr>
          <w:rFonts w:ascii="Calibri" w:cs="Calibri" w:eastAsia="Calibri" w:hAnsi="Calibri"/>
          <w:sz w:val="20"/>
          <w:szCs w:val="20"/>
          <w:rtl w:val="0"/>
        </w:rPr>
        <w:t xml:space="preserve"> ENERGÍA. (2019). Contenedores de reciclaje: tipos, colores y significado. </w:t>
      </w:r>
      <w:hyperlink r:id="rId14">
        <w:r w:rsidDel="00000000" w:rsidR="00000000" w:rsidRPr="00000000">
          <w:rPr>
            <w:rFonts w:ascii="Calibri" w:cs="Calibri" w:eastAsia="Calibri" w:hAnsi="Calibri"/>
            <w:color w:val="1155cc"/>
            <w:sz w:val="20"/>
            <w:szCs w:val="20"/>
            <w:u w:val="single"/>
            <w:rtl w:val="0"/>
          </w:rPr>
          <w:t xml:space="preserve">https://nabaliaenergia.com/contenedores-reciclaje/</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line="276" w:lineRule="auto"/>
        <w:ind w:left="720" w:firstLine="0"/>
        <w:jc w:val="center"/>
        <w:rPr>
          <w:sz w:val="20"/>
          <w:szCs w:val="20"/>
        </w:rPr>
      </w:pPr>
      <w:r w:rsidDel="00000000" w:rsidR="00000000" w:rsidRPr="00000000">
        <w:rPr>
          <w:rtl w:val="0"/>
        </w:rPr>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after="120" w:line="276" w:lineRule="auto"/>
        <w:ind w:left="284" w:hanging="284"/>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Llevar la ejecución del punto limpio verificando </w:t>
      </w:r>
      <w:r w:rsidDel="00000000" w:rsidR="00000000" w:rsidRPr="00000000">
        <w:rPr>
          <w:rFonts w:ascii="Calibri" w:cs="Calibri" w:eastAsia="Calibri" w:hAnsi="Calibri"/>
          <w:sz w:val="24"/>
          <w:szCs w:val="24"/>
          <w:rtl w:val="0"/>
        </w:rPr>
        <w:t xml:space="preserve">el cumplimiento de clasificación de contenedores y reciclaje de residuos del taller</w:t>
      </w:r>
      <w:r w:rsidDel="00000000" w:rsidR="00000000" w:rsidRPr="00000000">
        <w:rPr>
          <w:rFonts w:ascii="Calibri" w:cs="Calibri" w:eastAsia="Calibri" w:hAnsi="Calibri"/>
          <w:color w:val="000000"/>
          <w:sz w:val="24"/>
          <w:szCs w:val="24"/>
          <w:rtl w:val="0"/>
        </w:rPr>
        <w:t xml:space="preserve">. Esta parte es de vital importancia, ya que se debe cumplir lo establecido por los </w:t>
      </w:r>
      <w:r w:rsidDel="00000000" w:rsidR="00000000" w:rsidRPr="00000000">
        <w:rPr>
          <w:rFonts w:ascii="Calibri" w:cs="Calibri" w:eastAsia="Calibri" w:hAnsi="Calibri"/>
          <w:sz w:val="24"/>
          <w:szCs w:val="24"/>
          <w:rtl w:val="0"/>
        </w:rPr>
        <w:t xml:space="preserve">y las docentes</w:t>
      </w:r>
      <w:r w:rsidDel="00000000" w:rsidR="00000000" w:rsidRPr="00000000">
        <w:rPr>
          <w:rFonts w:ascii="Calibri" w:cs="Calibri" w:eastAsia="Calibri" w:hAnsi="Calibri"/>
          <w:color w:val="000000"/>
          <w:sz w:val="24"/>
          <w:szCs w:val="24"/>
          <w:rtl w:val="0"/>
        </w:rPr>
        <w:t xml:space="preserve"> para que sea un éxito el reciclaje dentro del taller.</w:t>
      </w:r>
    </w:p>
    <w:p w:rsidR="00000000" w:rsidDel="00000000" w:rsidP="00000000" w:rsidRDefault="00000000" w:rsidRPr="00000000" w14:paraId="00000040">
      <w:pPr>
        <w:tabs>
          <w:tab w:val="left" w:pos="5415"/>
        </w:tabs>
        <w:spacing w:after="120" w:line="276" w:lineRule="auto"/>
        <w:jc w:val="both"/>
        <w:rPr>
          <w:rFonts w:ascii="Calibri" w:cs="Calibri" w:eastAsia="Calibri" w:hAnsi="Calibri"/>
          <w:b w:val="1"/>
          <w:color w:val="808080"/>
          <w:sz w:val="24"/>
          <w:szCs w:val="24"/>
        </w:rPr>
      </w:pPr>
      <w:r w:rsidDel="00000000" w:rsidR="00000000" w:rsidRPr="00000000">
        <w:rPr>
          <w:rFonts w:ascii="Calibri" w:cs="Calibri" w:eastAsia="Calibri" w:hAnsi="Calibri"/>
          <w:b w:val="1"/>
          <w:color w:val="808080"/>
          <w:sz w:val="24"/>
          <w:szCs w:val="24"/>
          <w:rtl w:val="0"/>
        </w:rPr>
        <w:t xml:space="preserve">Algunas ideas para realizar en conjunto con la comunidad:</w:t>
      </w:r>
    </w:p>
    <w:p w:rsidR="00000000" w:rsidDel="00000000" w:rsidP="00000000" w:rsidRDefault="00000000" w:rsidRPr="00000000" w14:paraId="00000041">
      <w:pPr>
        <w:numPr>
          <w:ilvl w:val="0"/>
          <w:numId w:val="1"/>
        </w:numPr>
        <w:tabs>
          <w:tab w:val="left" w:pos="5415"/>
        </w:tabs>
        <w:spacing w:after="120" w:line="276"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Generar conciencia ecológica mediante vídeos cortos explicando los beneficios del reciclaje.</w:t>
      </w:r>
    </w:p>
    <w:p w:rsidR="00000000" w:rsidDel="00000000" w:rsidP="00000000" w:rsidRDefault="00000000" w:rsidRPr="00000000" w14:paraId="00000042">
      <w:pPr>
        <w:numPr>
          <w:ilvl w:val="0"/>
          <w:numId w:val="1"/>
        </w:numPr>
        <w:tabs>
          <w:tab w:val="left" w:pos="5415"/>
        </w:tabs>
        <w:spacing w:after="120" w:line="276"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Crear afiches con aplicaciones como Canvas (https://www.canva.com/es_es/crear/posters/), haciendo alusión a la importancia del reciclaje y concientización de los estudiantes.</w:t>
      </w:r>
    </w:p>
    <w:p w:rsidR="00000000" w:rsidDel="00000000" w:rsidP="00000000" w:rsidRDefault="00000000" w:rsidRPr="00000000" w14:paraId="00000043">
      <w:pPr>
        <w:numPr>
          <w:ilvl w:val="0"/>
          <w:numId w:val="1"/>
        </w:numPr>
        <w:tabs>
          <w:tab w:val="left" w:pos="5415"/>
        </w:tabs>
        <w:spacing w:after="120" w:line="276"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Realizar presentaciones sobre el reciclaje y el medioambiente.</w:t>
      </w:r>
    </w:p>
    <w:sectPr>
      <w:headerReference r:id="rId15" w:type="default"/>
      <w:footerReference r:id="rId16" w:type="default"/>
      <w:pgSz w:h="15840" w:w="12240" w:orient="portrait"/>
      <w:pgMar w:bottom="1417" w:top="1560"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9321800</wp:posOffset>
              </wp:positionV>
              <wp:extent cx="466725" cy="329565"/>
              <wp:effectExtent b="0" l="0" r="0" t="0"/>
              <wp:wrapSquare wrapText="bothSides" distB="0" distT="0" distL="0" distR="0"/>
              <wp:docPr id="42" name=""/>
              <a:graphic>
                <a:graphicData uri="http://schemas.microsoft.com/office/word/2010/wordprocessingShape">
                  <wps:wsp>
                    <wps:cNvSpPr/>
                    <wps:cNvPr id="3" name="Shape 3"/>
                    <wps:spPr>
                      <a:xfrm>
                        <a:off x="5117400" y="3619980"/>
                        <a:ext cx="457200" cy="320040"/>
                      </a:xfrm>
                      <a:prstGeom prst="rect">
                        <a:avLst/>
                      </a:prstGeom>
                      <a:solidFill>
                        <a:srgbClr val="88354D"/>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ffffff"/>
                              <w:sz w:val="28"/>
                              <w:vertAlign w:val="baseline"/>
                            </w:rPr>
                            <w:t xml:space="preserve">PAGE   \* MERGEFORMAT2</w:t>
                          </w:r>
                        </w:p>
                      </w:txbxContent>
                    </wps:txbx>
                    <wps:bodyPr anchorCtr="0" anchor="b"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9321800</wp:posOffset>
              </wp:positionV>
              <wp:extent cx="466725" cy="329565"/>
              <wp:effectExtent b="0" l="0" r="0" t="0"/>
              <wp:wrapSquare wrapText="bothSides" distB="0" distT="0" distL="0" distR="0"/>
              <wp:docPr id="4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6672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9334500</wp:posOffset>
              </wp:positionV>
              <wp:extent cx="5943600" cy="320040"/>
              <wp:effectExtent b="0" l="0" r="0" t="0"/>
              <wp:wrapSquare wrapText="bothSides" distB="0" distT="0" distL="0" distR="0"/>
              <wp:docPr id="47" name=""/>
              <a:graphic>
                <a:graphicData uri="http://schemas.microsoft.com/office/word/2010/wordprocessingGroup">
                  <wpg:wgp>
                    <wpg:cNvGrpSpPr/>
                    <wpg:grpSpPr>
                      <a:xfrm>
                        <a:off x="2374200" y="3619980"/>
                        <a:ext cx="5943600" cy="320040"/>
                        <a:chOff x="2374200" y="3619980"/>
                        <a:chExt cx="5943600" cy="320040"/>
                      </a:xfrm>
                    </wpg:grpSpPr>
                    <wpg:grpSp>
                      <wpg:cNvGrpSpPr/>
                      <wpg:grpSpPr>
                        <a:xfrm>
                          <a:off x="2374200" y="3619980"/>
                          <a:ext cx="5943600" cy="320040"/>
                          <a:chOff x="0" y="0"/>
                          <a:chExt cx="5962650" cy="323851"/>
                        </a:xfrm>
                      </wpg:grpSpPr>
                      <wps:wsp>
                        <wps:cNvSpPr/>
                        <wps:cNvPr id="8" name="Shape 8"/>
                        <wps:spPr>
                          <a:xfrm>
                            <a:off x="0" y="0"/>
                            <a:ext cx="5962650" cy="32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9050" y="0"/>
                            <a:ext cx="5943600" cy="18826"/>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66676"/>
                            <a:ext cx="5943600" cy="2571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Escríbenos a maletinesdidacticos@iie.cl para reportar errores o hacer sugerencias</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7f7f7f"/>
                                  <w:sz w:val="22"/>
                                  <w:vertAlign w:val="baseline"/>
                                </w:rPr>
                              </w:r>
                            </w:p>
                          </w:txbxContent>
                        </wps:txbx>
                        <wps:bodyPr anchorCtr="0" anchor="b" bIns="0" lIns="91425" spcFirstLastPara="1" rIns="91425" wrap="square" tIns="4570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9334500</wp:posOffset>
              </wp:positionV>
              <wp:extent cx="5943600" cy="320040"/>
              <wp:effectExtent b="0" l="0" r="0" t="0"/>
              <wp:wrapSquare wrapText="bothSides" distB="0" distT="0" distL="0" distR="0"/>
              <wp:docPr id="47"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5943600" cy="32004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spacing w:after="0" w:line="240" w:lineRule="auto"/>
      <w:jc w:val="right"/>
      <w:rPr>
        <w:sz w:val="20"/>
        <w:szCs w:val="20"/>
      </w:rPr>
    </w:pPr>
    <w:r w:rsidDel="00000000" w:rsidR="00000000" w:rsidRPr="00000000">
      <w:rPr>
        <w:sz w:val="20"/>
        <w:szCs w:val="20"/>
        <w:rtl w:val="0"/>
      </w:rPr>
      <w:t xml:space="preserve">Especialidad Mecánica Industrial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4" name=""/>
              <a:graphic>
                <a:graphicData uri="http://schemas.microsoft.com/office/word/2010/wordprocessingShape">
                  <wps:wsp>
                    <wps:cNvSpPr/>
                    <wps:cNvPr id="4" name="Shape 4"/>
                    <wps:spPr>
                      <a:xfrm>
                        <a:off x="5292660" y="3136110"/>
                        <a:ext cx="106680" cy="128778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4"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16205" cy="1297305"/>
                      </a:xfrm>
                      <a:prstGeom prst="rect"/>
                      <a:ln/>
                    </pic:spPr>
                  </pic:pic>
                </a:graphicData>
              </a:graphic>
            </wp:anchor>
          </w:drawing>
        </mc:Fallback>
      </mc:AlternateContent>
    </w:r>
    <w:r w:rsidDel="00000000" w:rsidR="00000000" w:rsidRPr="00000000">
      <w:drawing>
        <wp:anchor allowOverlap="1" behindDoc="0" distB="45720" distT="45720" distL="114300" distR="114300" hidden="0" layoutInCell="1" locked="0" relativeHeight="0" simplePos="0">
          <wp:simplePos x="0" y="0"/>
          <wp:positionH relativeFrom="column">
            <wp:posOffset>3</wp:posOffset>
          </wp:positionH>
          <wp:positionV relativeFrom="paragraph">
            <wp:posOffset>11432</wp:posOffset>
          </wp:positionV>
          <wp:extent cx="1048703" cy="647700"/>
          <wp:effectExtent b="0" l="0" r="0" t="0"/>
          <wp:wrapSquare wrapText="bothSides" distB="45720" distT="45720" distL="114300" distR="114300"/>
          <wp:docPr id="5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48703" cy="6477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5" name=""/>
              <a:graphic>
                <a:graphicData uri="http://schemas.microsoft.com/office/word/2010/wordprocessingShape">
                  <wps:wsp>
                    <wps:cNvSpPr/>
                    <wps:cNvPr id="5" name="Shape 5"/>
                    <wps:spPr>
                      <a:xfrm>
                        <a:off x="5292660" y="3136110"/>
                        <a:ext cx="106680" cy="128778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5"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116205" cy="12973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25730" cy="1306830"/>
              <wp:effectExtent b="0" l="0" r="0" t="0"/>
              <wp:wrapNone/>
              <wp:docPr id="41" name=""/>
              <a:graphic>
                <a:graphicData uri="http://schemas.microsoft.com/office/word/2010/wordprocessingShape">
                  <wps:wsp>
                    <wps:cNvSpPr/>
                    <wps:cNvPr id="2" name="Shape 2"/>
                    <wps:spPr>
                      <a:xfrm>
                        <a:off x="5292660" y="3136110"/>
                        <a:ext cx="106680" cy="128778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25730" cy="1306830"/>
              <wp:effectExtent b="0" l="0" r="0" t="0"/>
              <wp:wrapNone/>
              <wp:docPr id="41"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125730" cy="1306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9" name=""/>
              <a:graphic>
                <a:graphicData uri="http://schemas.microsoft.com/office/word/2010/wordprocessingShape">
                  <wps:wsp>
                    <wps:cNvSpPr/>
                    <wps:cNvPr id="11" name="Shape 11"/>
                    <wps:spPr>
                      <a:xfrm>
                        <a:off x="5292660" y="3136110"/>
                        <a:ext cx="106680" cy="128778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9" name="image15.png"/>
              <a:graphic>
                <a:graphicData uri="http://schemas.openxmlformats.org/drawingml/2006/picture">
                  <pic:pic>
                    <pic:nvPicPr>
                      <pic:cNvPr id="0" name="image15.png"/>
                      <pic:cNvPicPr preferRelativeResize="0"/>
                    </pic:nvPicPr>
                    <pic:blipFill>
                      <a:blip r:embed="rId5"/>
                      <a:srcRect/>
                      <a:stretch>
                        <a:fillRect/>
                      </a:stretch>
                    </pic:blipFill>
                    <pic:spPr>
                      <a:xfrm>
                        <a:off x="0" y="0"/>
                        <a:ext cx="116205" cy="12973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3" name=""/>
              <a:graphic>
                <a:graphicData uri="http://schemas.microsoft.com/office/word/2010/wordprocessingShape">
                  <wps:wsp>
                    <wps:cNvSpPr/>
                    <wps:cNvPr id="4" name="Shape 4"/>
                    <wps:spPr>
                      <a:xfrm>
                        <a:off x="5292660" y="3136110"/>
                        <a:ext cx="106680" cy="128778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3"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116205" cy="12973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8" name=""/>
              <a:graphic>
                <a:graphicData uri="http://schemas.microsoft.com/office/word/2010/wordprocessingShape">
                  <wps:wsp>
                    <wps:cNvSpPr/>
                    <wps:cNvPr id="4" name="Shape 4"/>
                    <wps:spPr>
                      <a:xfrm>
                        <a:off x="5292660" y="3136110"/>
                        <a:ext cx="106680" cy="128778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16205" cy="12973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6" name=""/>
              <a:graphic>
                <a:graphicData uri="http://schemas.microsoft.com/office/word/2010/wordprocessingShape">
                  <wps:wsp>
                    <wps:cNvSpPr/>
                    <wps:cNvPr id="6" name="Shape 6"/>
                    <wps:spPr>
                      <a:xfrm>
                        <a:off x="5292660" y="3136110"/>
                        <a:ext cx="106680" cy="128778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6"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16205" cy="1297305"/>
                      </a:xfrm>
                      <a:prstGeom prst="rect"/>
                      <a:ln/>
                    </pic:spPr>
                  </pic:pic>
                </a:graphicData>
              </a:graphic>
            </wp:anchor>
          </w:drawing>
        </mc:Fallback>
      </mc:AlternateContent>
    </w:r>
  </w:p>
  <w:p w:rsidR="00000000" w:rsidDel="00000000" w:rsidP="00000000" w:rsidRDefault="00000000" w:rsidRPr="00000000" w14:paraId="00000045">
    <w:pPr>
      <w:spacing w:after="0" w:line="240" w:lineRule="auto"/>
      <w:jc w:val="right"/>
      <w:rPr>
        <w:sz w:val="20"/>
        <w:szCs w:val="20"/>
      </w:rPr>
    </w:pPr>
    <w:r w:rsidDel="00000000" w:rsidR="00000000" w:rsidRPr="00000000">
      <w:rPr>
        <w:sz w:val="20"/>
        <w:szCs w:val="20"/>
        <w:rtl w:val="0"/>
      </w:rPr>
      <w:t xml:space="preserve">Plan común</w:t>
    </w:r>
  </w:p>
  <w:p w:rsidR="00000000" w:rsidDel="00000000" w:rsidP="00000000" w:rsidRDefault="00000000" w:rsidRPr="00000000" w14:paraId="00000046">
    <w:pPr>
      <w:spacing w:after="0" w:line="240" w:lineRule="auto"/>
      <w:jc w:val="right"/>
      <w:rPr/>
    </w:pPr>
    <w:r w:rsidDel="00000000" w:rsidR="00000000" w:rsidRPr="00000000">
      <w:rPr>
        <w:sz w:val="20"/>
        <w:szCs w:val="20"/>
        <w:rtl w:val="0"/>
      </w:rPr>
      <w:t xml:space="preserve">Módulo Mecánica de Banco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9E4D25"/>
    <w:pPr>
      <w:ind w:left="720"/>
      <w:contextualSpacing w:val="1"/>
    </w:pPr>
  </w:style>
  <w:style w:type="character" w:styleId="Hipervnculo">
    <w:name w:val="Hyperlink"/>
    <w:basedOn w:val="Fuentedeprrafopredeter"/>
    <w:uiPriority w:val="99"/>
    <w:unhideWhenUsed w:val="1"/>
    <w:rsid w:val="00D752A1"/>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unhideWhenUsed w:val="1"/>
    <w:rsid w:val="002F741F"/>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F741F"/>
  </w:style>
  <w:style w:type="paragraph" w:styleId="Piedepgina">
    <w:name w:val="footer"/>
    <w:basedOn w:val="Normal"/>
    <w:link w:val="PiedepginaCar"/>
    <w:uiPriority w:val="99"/>
    <w:unhideWhenUsed w:val="1"/>
    <w:rsid w:val="002F741F"/>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F741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hyperlink" Target="http://www.comansa.eu/contenedores-para-virutas-serie-eco.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oltachile.cl/punto-limpio-movil-reciclaje-participativo-empresa" TargetMode="External"/><Relationship Id="rId15" Type="http://schemas.openxmlformats.org/officeDocument/2006/relationships/header" Target="header1.xml"/><Relationship Id="rId14" Type="http://schemas.openxmlformats.org/officeDocument/2006/relationships/hyperlink" Target="https://nabaliaenergia.com/contenedores-reciclaje/"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png"/><Relationship Id="rId3" Type="http://schemas.openxmlformats.org/officeDocument/2006/relationships/image" Target="media/image11.png"/><Relationship Id="rId4" Type="http://schemas.openxmlformats.org/officeDocument/2006/relationships/image" Target="media/image7.png"/><Relationship Id="rId5" Type="http://schemas.openxmlformats.org/officeDocument/2006/relationships/image" Target="media/image15.png"/><Relationship Id="rId6" Type="http://schemas.openxmlformats.org/officeDocument/2006/relationships/image" Target="media/image9.png"/><Relationship Id="rId7" Type="http://schemas.openxmlformats.org/officeDocument/2006/relationships/image" Target="media/image14.png"/><Relationship Id="rId8"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y0NqGkl1fFJEBp927gG8cUruLw==">AMUW2mXYbbqwNEK5PPa9m8iEzo1FwPmaz7waZu3iZiORKngxeEuTIhN4XGeQtD4JIBrb7cUpooDhqcCmRadM9GHDqpR2bi7eENlOKu0T0ELN/v8MWgh13jY=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2020-08-18T14:50:00Z</dcterms:created>
  <dc:creator>ian.ibaceta.sansano@hotmail.com</dc:creator>
</cp:coreProperties>
</file>